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641" w:rsidRPr="00201641" w:rsidRDefault="00201641" w:rsidP="00201641">
      <w:pPr>
        <w:spacing w:after="0" w:line="240" w:lineRule="auto"/>
        <w:jc w:val="center"/>
        <w:rPr>
          <w:rFonts w:ascii="Corbel" w:eastAsia="Times New Roman" w:hAnsi="Corbel" w:cs="Times New Roman"/>
          <w:b/>
          <w:smallCaps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t>SYLABUS</w:t>
      </w:r>
    </w:p>
    <w:p w:rsidR="00201641" w:rsidRPr="00201641" w:rsidRDefault="00201641" w:rsidP="00201641">
      <w:pPr>
        <w:spacing w:after="0" w:line="240" w:lineRule="auto"/>
        <w:jc w:val="center"/>
        <w:rPr>
          <w:rFonts w:ascii="Corbel" w:eastAsia="Times New Roman" w:hAnsi="Corbel" w:cs="Times New Roman"/>
          <w:b/>
          <w:smallCaps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t>dotyczy cyklu kształcenia 2018-2020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color w:val="0070C0"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System bankowy Unii Europejskiej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bookmarkStart w:id="0" w:name="_GoBack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E /II/EP/ C-1.4.a</w:t>
            </w:r>
            <w:bookmarkEnd w:id="0"/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Wydział Ekonomii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Katedra Finansów i Rachunkowości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Studia drugiego stopnia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Studia </w:t>
            </w: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nie</w:t>
            </w: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II/3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polski 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dr Paulina Filip</w:t>
            </w:r>
          </w:p>
        </w:tc>
      </w:tr>
      <w:tr w:rsidR="00201641" w:rsidRPr="00201641" w:rsidTr="00E47733">
        <w:tc>
          <w:tcPr>
            <w:tcW w:w="2694" w:type="dxa"/>
            <w:vAlign w:val="center"/>
          </w:tcPr>
          <w:p w:rsidR="00201641" w:rsidRPr="00201641" w:rsidRDefault="00201641" w:rsidP="0020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1641" w:rsidRPr="00201641" w:rsidRDefault="00201641" w:rsidP="00201641">
            <w:pPr>
              <w:spacing w:before="100" w:beforeAutospacing="1" w:after="100" w:afterAutospacing="1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dr Paulina Filip</w:t>
            </w:r>
          </w:p>
        </w:tc>
      </w:tr>
    </w:tbl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20164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20164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- </w:t>
      </w:r>
      <w:r w:rsidRPr="0020164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na Wydziale</w:t>
      </w:r>
    </w:p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20164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201641" w:rsidRPr="00201641" w:rsidTr="00E47733">
        <w:tc>
          <w:tcPr>
            <w:tcW w:w="862" w:type="dxa"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Semestr</w:t>
            </w:r>
          </w:p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33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Wykł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Konw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.</w:t>
            </w:r>
          </w:p>
        </w:tc>
        <w:tc>
          <w:tcPr>
            <w:tcW w:w="825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36" w:type="dxa"/>
            <w:vAlign w:val="center"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Sem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ZP</w:t>
            </w:r>
          </w:p>
        </w:tc>
        <w:tc>
          <w:tcPr>
            <w:tcW w:w="970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Prakt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721" w:type="dxa"/>
            <w:vAlign w:val="center"/>
            <w:hideMark/>
          </w:tcPr>
          <w:p w:rsidR="00201641" w:rsidRPr="00201641" w:rsidRDefault="00201641" w:rsidP="00201641">
            <w:pPr>
              <w:spacing w:after="120" w:line="240" w:lineRule="auto"/>
              <w:jc w:val="center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Liczba pkt ECTS</w:t>
            </w:r>
          </w:p>
        </w:tc>
      </w:tr>
      <w:tr w:rsidR="00201641" w:rsidRPr="00201641" w:rsidTr="00E47733">
        <w:trPr>
          <w:trHeight w:val="453"/>
        </w:trPr>
        <w:tc>
          <w:tcPr>
            <w:tcW w:w="862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33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20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5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5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6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5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70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val="x-none"/>
        </w:rPr>
      </w:pPr>
    </w:p>
    <w:p w:rsidR="00201641" w:rsidRPr="00201641" w:rsidRDefault="00201641" w:rsidP="00201641">
      <w:pPr>
        <w:spacing w:after="0" w:line="240" w:lineRule="auto"/>
        <w:ind w:left="284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1.2.  Sposób realizacji zajęć 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MS Gothic" w:hAnsi="Corbel" w:cs="MS Gothic"/>
          <w:b/>
          <w:smallCaps/>
          <w:sz w:val="24"/>
          <w:szCs w:val="24"/>
        </w:rPr>
        <w:t xml:space="preserve">  x</w:t>
      </w:r>
      <w:r w:rsidRPr="00201641">
        <w:rPr>
          <w:rFonts w:ascii="Corbel" w:eastAsia="Times New Roman" w:hAnsi="Corbel" w:cs="Times New Roman"/>
          <w:sz w:val="24"/>
          <w:szCs w:val="24"/>
        </w:rPr>
        <w:t xml:space="preserve">  zajęcia w formie tradycyjnej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201641">
        <w:rPr>
          <w:rFonts w:ascii="Corbel" w:eastAsia="Times New Roman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</w:p>
    <w:p w:rsidR="00201641" w:rsidRPr="00201641" w:rsidRDefault="00201641" w:rsidP="00201641">
      <w:pPr>
        <w:tabs>
          <w:tab w:val="left" w:pos="709"/>
        </w:tabs>
        <w:spacing w:after="0" w:line="240" w:lineRule="auto"/>
        <w:ind w:left="709" w:hanging="425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1.3. Forma zaliczenia przedmiotu /modułu (z toku) </w:t>
      </w:r>
      <w:r w:rsidRPr="00201641">
        <w:rPr>
          <w:rFonts w:ascii="Corbel" w:eastAsia="Times New Roman" w:hAnsi="Corbel" w:cs="Times New Roman"/>
          <w:sz w:val="24"/>
          <w:szCs w:val="24"/>
        </w:rPr>
        <w:t>(egzamin, zaliczenie z oceną, zaliczenie bez oceny)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sz w:val="24"/>
          <w:szCs w:val="24"/>
        </w:rPr>
        <w:t>Zaliczenie z oceną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t xml:space="preserve">2.Wymagania wstępne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1641" w:rsidRPr="00201641" w:rsidTr="00E47733">
        <w:tc>
          <w:tcPr>
            <w:tcW w:w="9670" w:type="dxa"/>
          </w:tcPr>
          <w:p w:rsidR="00201641" w:rsidRPr="00201641" w:rsidRDefault="00201641" w:rsidP="00201641">
            <w:pPr>
              <w:spacing w:before="40" w:after="4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Pozytywne zaliczenie z Rynku kapitałowego i finansowego wskazujące na posiadanie podstawowej wiedzy finansowej (problemy, kategorie, prawa) oraz umiejętności interpretacji zjawisk ekonomicznych.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br w:type="page"/>
      </w:r>
      <w:r w:rsidRPr="00201641">
        <w:rPr>
          <w:rFonts w:ascii="Corbel" w:eastAsia="Times New Roman" w:hAnsi="Corbel" w:cs="Times New Roman"/>
          <w:b/>
          <w:smallCaps/>
          <w:sz w:val="24"/>
          <w:szCs w:val="24"/>
        </w:rPr>
        <w:lastRenderedPageBreak/>
        <w:t>3. cele, efekty kształcenia , treści Programowe i stosowane metody Dydaktyczne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mallCaps/>
          <w:sz w:val="24"/>
          <w:szCs w:val="24"/>
        </w:rPr>
      </w:pPr>
    </w:p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20164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3.1 Cele przedmiotu/modułu </w:t>
      </w:r>
    </w:p>
    <w:p w:rsidR="00201641" w:rsidRPr="00201641" w:rsidRDefault="00201641" w:rsidP="0020164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1641" w:rsidRPr="00201641" w:rsidTr="00E47733">
        <w:trPr>
          <w:trHeight w:val="599"/>
        </w:trPr>
        <w:tc>
          <w:tcPr>
            <w:tcW w:w="85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="00201641" w:rsidRPr="00201641" w:rsidRDefault="00201641" w:rsidP="00201641">
            <w:pPr>
              <w:spacing w:after="200" w:line="27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Opisuje w sposób pogłębiony problemy współczesnych systemów bankowych Charakteryzuje związki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przyczynowo-skutkowych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między zjawiskami finansowymi, a normami dyrektywami i zaleceniami Unii Europejskiej</w:t>
            </w:r>
          </w:p>
        </w:tc>
      </w:tr>
      <w:tr w:rsidR="00201641" w:rsidRPr="00201641" w:rsidTr="00E47733">
        <w:trPr>
          <w:trHeight w:val="711"/>
        </w:trPr>
        <w:tc>
          <w:tcPr>
            <w:tcW w:w="85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:rsidR="00201641" w:rsidRPr="00201641" w:rsidRDefault="00201641" w:rsidP="00201641">
            <w:pPr>
              <w:spacing w:after="200" w:line="27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201641" w:rsidRPr="00201641" w:rsidTr="00E47733">
        <w:tc>
          <w:tcPr>
            <w:tcW w:w="851" w:type="dxa"/>
            <w:vAlign w:val="center"/>
          </w:tcPr>
          <w:p w:rsidR="00201641" w:rsidRPr="00201641" w:rsidRDefault="00201641" w:rsidP="0020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:rsidR="00201641" w:rsidRPr="00201641" w:rsidRDefault="00201641" w:rsidP="00201641">
            <w:pPr>
              <w:spacing w:after="200" w:line="27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Zna metody pomiaru ryzyka i zabezpieczania tradycyjnych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ryzyk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bankowych. Nabywa umiejętności analizy wypłacalności banków, umie oszacować ryzyko upadłości.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color w:val="000000"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>3.2 Efekty kształcenia dla przedmiotu/ modułu</w:t>
      </w:r>
      <w:r w:rsidRPr="00201641">
        <w:rPr>
          <w:rFonts w:ascii="Corbel" w:eastAsia="Times New Roman" w:hAnsi="Corbel" w:cs="Times New Roman"/>
          <w:sz w:val="24"/>
          <w:szCs w:val="24"/>
        </w:rPr>
        <w:t xml:space="preserve"> (</w:t>
      </w:r>
      <w:r w:rsidRPr="00201641">
        <w:rPr>
          <w:rFonts w:ascii="Corbel" w:eastAsia="Times New Roman" w:hAnsi="Corbel" w:cs="Times New Roman"/>
          <w:i/>
          <w:sz w:val="24"/>
          <w:szCs w:val="24"/>
        </w:rPr>
        <w:t>wypełnia koordynator</w:t>
      </w:r>
      <w:r w:rsidRPr="00201641">
        <w:rPr>
          <w:rFonts w:ascii="Corbel" w:eastAsia="Times New Roman" w:hAnsi="Corbel" w:cs="Times New Roman"/>
          <w:sz w:val="24"/>
          <w:szCs w:val="24"/>
        </w:rPr>
        <w:t>)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201641" w:rsidRPr="00201641" w:rsidTr="00E47733">
        <w:tc>
          <w:tcPr>
            <w:tcW w:w="1701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EK</w:t>
            </w: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Odniesienie do efektów  kierunkowych </w:t>
            </w: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(KEK)</w:t>
            </w:r>
          </w:p>
        </w:tc>
      </w:tr>
      <w:tr w:rsidR="00201641" w:rsidRPr="00201641" w:rsidTr="00E47733">
        <w:tc>
          <w:tcPr>
            <w:tcW w:w="1701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:rsidR="00201641" w:rsidRPr="00201641" w:rsidRDefault="00201641" w:rsidP="00201641">
            <w:pPr>
              <w:spacing w:after="20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Przedstawia opinię na temat podstawowych problemów występujących w systemie bankowym UE</w:t>
            </w:r>
          </w:p>
        </w:tc>
        <w:tc>
          <w:tcPr>
            <w:tcW w:w="1873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K_U02</w:t>
            </w:r>
          </w:p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K_U05</w:t>
            </w:r>
          </w:p>
          <w:p w:rsidR="00201641" w:rsidRPr="00201641" w:rsidRDefault="00201641" w:rsidP="00201641">
            <w:pPr>
              <w:spacing w:after="20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01641" w:rsidRPr="00201641" w:rsidTr="00E47733">
        <w:tc>
          <w:tcPr>
            <w:tcW w:w="1701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:rsidR="00201641" w:rsidRPr="00201641" w:rsidRDefault="00201641" w:rsidP="00201641">
            <w:pPr>
              <w:spacing w:after="20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Przewiduje i analizuje skutki zmian w systemach bankowych i na rynkach finansowych, formułuje wnioski.</w:t>
            </w:r>
          </w:p>
        </w:tc>
        <w:tc>
          <w:tcPr>
            <w:tcW w:w="1873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K_U02</w:t>
            </w:r>
          </w:p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K_U03</w:t>
            </w:r>
          </w:p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K_U05</w:t>
            </w:r>
          </w:p>
          <w:p w:rsidR="00201641" w:rsidRPr="00201641" w:rsidRDefault="00201641" w:rsidP="00201641">
            <w:pPr>
              <w:spacing w:after="20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01641" w:rsidRPr="00201641" w:rsidTr="00E47733">
        <w:tc>
          <w:tcPr>
            <w:tcW w:w="1701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EK_03</w:t>
            </w:r>
          </w:p>
        </w:tc>
        <w:tc>
          <w:tcPr>
            <w:tcW w:w="6096" w:type="dxa"/>
          </w:tcPr>
          <w:p w:rsidR="00201641" w:rsidRPr="00201641" w:rsidRDefault="00201641" w:rsidP="00201641">
            <w:pPr>
              <w:spacing w:after="20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Posiada kompetencje do podejmowania decyzji finansowych na rynku bankowym.</w:t>
            </w:r>
          </w:p>
        </w:tc>
        <w:tc>
          <w:tcPr>
            <w:tcW w:w="1873" w:type="dxa"/>
          </w:tcPr>
          <w:p w:rsidR="00201641" w:rsidRPr="00201641" w:rsidRDefault="00201641" w:rsidP="00201641">
            <w:pPr>
              <w:spacing w:before="240"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K_K02</w:t>
            </w:r>
          </w:p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K_K03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mallCaps/>
          <w:sz w:val="24"/>
          <w:szCs w:val="24"/>
        </w:rPr>
      </w:pPr>
    </w:p>
    <w:p w:rsidR="00201641" w:rsidRPr="00201641" w:rsidRDefault="00201641" w:rsidP="00201641">
      <w:pPr>
        <w:numPr>
          <w:ilvl w:val="1"/>
          <w:numId w:val="3"/>
        </w:numPr>
        <w:spacing w:after="200" w:line="240" w:lineRule="auto"/>
        <w:contextualSpacing/>
        <w:jc w:val="both"/>
        <w:rPr>
          <w:rFonts w:ascii="Corbel" w:eastAsia="Times New Roman" w:hAnsi="Corbel" w:cs="Times New Roman"/>
          <w:i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Treści programowe </w:t>
      </w:r>
      <w:r w:rsidRPr="00201641">
        <w:rPr>
          <w:rFonts w:ascii="Corbel" w:eastAsia="Times New Roman" w:hAnsi="Corbel" w:cs="Times New Roman"/>
          <w:sz w:val="24"/>
          <w:szCs w:val="24"/>
        </w:rPr>
        <w:t>(</w:t>
      </w:r>
      <w:r w:rsidRPr="00201641">
        <w:rPr>
          <w:rFonts w:ascii="Corbel" w:eastAsia="Times New Roman" w:hAnsi="Corbel" w:cs="Times New Roman"/>
          <w:i/>
          <w:sz w:val="24"/>
          <w:szCs w:val="24"/>
        </w:rPr>
        <w:t>wypełnia koordynator)</w:t>
      </w:r>
    </w:p>
    <w:p w:rsidR="00201641" w:rsidRPr="00201641" w:rsidRDefault="00201641" w:rsidP="00201641">
      <w:pPr>
        <w:spacing w:after="200" w:line="240" w:lineRule="auto"/>
        <w:ind w:left="426"/>
        <w:contextualSpacing/>
        <w:jc w:val="both"/>
        <w:rPr>
          <w:rFonts w:ascii="Corbel" w:eastAsia="Times New Roman" w:hAnsi="Corbel" w:cs="Times New Roman"/>
          <w:b/>
          <w:sz w:val="24"/>
          <w:szCs w:val="24"/>
        </w:rPr>
      </w:pPr>
    </w:p>
    <w:p w:rsidR="00201641" w:rsidRPr="00201641" w:rsidRDefault="00201641" w:rsidP="00201641">
      <w:pPr>
        <w:spacing w:after="200" w:line="240" w:lineRule="auto"/>
        <w:ind w:left="993" w:hanging="567"/>
        <w:contextualSpacing/>
        <w:jc w:val="both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sz w:val="24"/>
          <w:szCs w:val="24"/>
        </w:rPr>
        <w:t xml:space="preserve">B.  Problematyka ćwiczeń audytoryjnych, konwersatoryjnych, laboratoryjnych, zajęć praktycznych </w:t>
      </w:r>
    </w:p>
    <w:p w:rsidR="00201641" w:rsidRPr="00201641" w:rsidRDefault="00201641" w:rsidP="00201641">
      <w:pPr>
        <w:spacing w:after="200" w:line="240" w:lineRule="auto"/>
        <w:contextualSpacing/>
        <w:jc w:val="both"/>
        <w:rPr>
          <w:rFonts w:ascii="Corbel" w:eastAsia="Times New Roman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1641" w:rsidRPr="00201641" w:rsidTr="00E47733">
        <w:tc>
          <w:tcPr>
            <w:tcW w:w="9639" w:type="dxa"/>
          </w:tcPr>
          <w:p w:rsidR="00201641" w:rsidRPr="00201641" w:rsidRDefault="00201641" w:rsidP="00201641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Treści merytoryczne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bCs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201641">
              <w:rPr>
                <w:rFonts w:ascii="Corbel" w:eastAsia="Times New Roman" w:hAnsi="Corbel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Zmiany w popycie na usługi bankowe dla klientów indywidualnych, instytucjonalnych strategie działania.</w:t>
            </w:r>
          </w:p>
        </w:tc>
      </w:tr>
      <w:tr w:rsidR="00201641" w:rsidRPr="00201641" w:rsidTr="00E47733">
        <w:tc>
          <w:tcPr>
            <w:tcW w:w="9639" w:type="dxa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E-banking, E-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lending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biling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broking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de-DE"/>
              </w:rPr>
              <w:t>.</w:t>
            </w: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Zarządzanie finansami osobistymi. Integracja produktów finansowych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201641" w:rsidRPr="00201641" w:rsidTr="00E47733">
        <w:tc>
          <w:tcPr>
            <w:tcW w:w="9639" w:type="dxa"/>
            <w:vAlign w:val="center"/>
          </w:tcPr>
          <w:p w:rsidR="00201641" w:rsidRPr="00201641" w:rsidRDefault="00201641" w:rsidP="00201641">
            <w:pPr>
              <w:spacing w:after="0" w:line="276" w:lineRule="auto"/>
              <w:ind w:left="33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Metody pomiaru ryzyka-wewnętrzne modele, metoda Value 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at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risk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. Zabezpieczania tradycyjnych </w:t>
            </w:r>
            <w:proofErr w:type="spellStart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ryzyk</w:t>
            </w:r>
            <w:proofErr w:type="spellEnd"/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bankowych.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mallCaps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>3.4 Metody dydaktyczne</w:t>
      </w:r>
      <w:r w:rsidRPr="00201641">
        <w:rPr>
          <w:rFonts w:ascii="Corbel" w:eastAsia="Times New Roman" w:hAnsi="Corbel" w:cs="Times New Roman"/>
          <w:sz w:val="24"/>
          <w:szCs w:val="24"/>
        </w:rPr>
        <w:t xml:space="preserve">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color w:val="000000"/>
          <w:sz w:val="24"/>
          <w:szCs w:val="24"/>
        </w:rPr>
        <w:t xml:space="preserve">Ćwiczenia: </w:t>
      </w:r>
      <w:r w:rsidRPr="00201641">
        <w:rPr>
          <w:rFonts w:ascii="Corbel" w:eastAsia="Times New Roman" w:hAnsi="Corbel" w:cs="Times New Roman"/>
          <w:sz w:val="24"/>
          <w:szCs w:val="24"/>
        </w:rPr>
        <w:t>studia przypadków</w:t>
      </w:r>
      <w:r w:rsidRPr="00201641">
        <w:rPr>
          <w:rFonts w:ascii="Corbel" w:eastAsia="Times New Roman" w:hAnsi="Corbel" w:cs="Times New Roman"/>
          <w:i/>
          <w:sz w:val="24"/>
          <w:szCs w:val="24"/>
        </w:rPr>
        <w:t xml:space="preserve">, </w:t>
      </w:r>
      <w:r w:rsidRPr="00201641">
        <w:rPr>
          <w:rFonts w:ascii="Corbel" w:eastAsia="Times New Roman" w:hAnsi="Corbel" w:cs="Times New Roman"/>
          <w:color w:val="000000"/>
          <w:sz w:val="24"/>
          <w:szCs w:val="24"/>
        </w:rPr>
        <w:t xml:space="preserve">rozwiązywanie zadań, </w:t>
      </w:r>
      <w:r w:rsidRPr="00201641">
        <w:rPr>
          <w:rFonts w:ascii="Corbel" w:eastAsia="Times New Roman" w:hAnsi="Corbel" w:cs="Times New Roman"/>
          <w:sz w:val="24"/>
          <w:szCs w:val="24"/>
        </w:rPr>
        <w:t>praca zespołowa.</w:t>
      </w:r>
    </w:p>
    <w:p w:rsidR="00201641" w:rsidRPr="00201641" w:rsidRDefault="00201641" w:rsidP="00201641">
      <w:pPr>
        <w:spacing w:after="0" w:line="240" w:lineRule="auto"/>
        <w:jc w:val="both"/>
        <w:rPr>
          <w:rFonts w:ascii="Corbel" w:eastAsia="Times New Roman" w:hAnsi="Corbel" w:cs="Times New Roman"/>
          <w:sz w:val="24"/>
          <w:szCs w:val="24"/>
        </w:rPr>
      </w:pPr>
    </w:p>
    <w:p w:rsidR="00201641" w:rsidRPr="00201641" w:rsidRDefault="00201641" w:rsidP="00201641">
      <w:pPr>
        <w:tabs>
          <w:tab w:val="left" w:pos="284"/>
        </w:tabs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4. METODY I KRYTERIA OCENY </w:t>
      </w:r>
    </w:p>
    <w:p w:rsidR="00201641" w:rsidRPr="00201641" w:rsidRDefault="00201641" w:rsidP="00201641">
      <w:pPr>
        <w:tabs>
          <w:tab w:val="left" w:pos="284"/>
        </w:tabs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>4.1 Sposoby weryfikacji efektów kształcenia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201641" w:rsidRPr="00201641" w:rsidTr="00E47733">
        <w:tc>
          <w:tcPr>
            <w:tcW w:w="1843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Metody oceny efektów kształcenia</w:t>
            </w:r>
          </w:p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Forma zajęć dydaktycznych </w:t>
            </w:r>
          </w:p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ćw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, …)</w:t>
            </w:r>
          </w:p>
        </w:tc>
      </w:tr>
      <w:tr w:rsidR="00201641" w:rsidRPr="00201641" w:rsidTr="00E47733">
        <w:tc>
          <w:tcPr>
            <w:tcW w:w="1843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670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ćwiczenia</w:t>
            </w:r>
          </w:p>
        </w:tc>
      </w:tr>
      <w:tr w:rsidR="00201641" w:rsidRPr="00201641" w:rsidTr="00E47733">
        <w:tc>
          <w:tcPr>
            <w:tcW w:w="1843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670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ćwiczenia</w:t>
            </w:r>
          </w:p>
        </w:tc>
      </w:tr>
      <w:tr w:rsidR="00201641" w:rsidRPr="00201641" w:rsidTr="00E47733">
        <w:tc>
          <w:tcPr>
            <w:tcW w:w="1843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670" w:type="dxa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01641" w:rsidRPr="00201641" w:rsidRDefault="00201641" w:rsidP="00201641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ćwiczenia</w:t>
            </w:r>
          </w:p>
        </w:tc>
      </w:tr>
    </w:tbl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b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4.2 Warunki zaliczenia przedmiotu (kryteria oceniania) </w:t>
      </w: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01641" w:rsidRPr="00201641" w:rsidTr="00E47733">
        <w:tc>
          <w:tcPr>
            <w:tcW w:w="9670" w:type="dxa"/>
          </w:tcPr>
          <w:p w:rsidR="00201641" w:rsidRPr="00201641" w:rsidRDefault="00201641" w:rsidP="00201641">
            <w:pPr>
              <w:spacing w:after="0" w:line="240" w:lineRule="auto"/>
              <w:ind w:left="34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Zaliczenie przedmiotu będzie realizowane w formie pisemnej jako test wielokrotnego wyboru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ind w:left="284" w:hanging="284"/>
        <w:jc w:val="both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01641" w:rsidRPr="00201641" w:rsidTr="00E47733">
        <w:tc>
          <w:tcPr>
            <w:tcW w:w="4962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01641" w:rsidRPr="00201641" w:rsidTr="00E47733">
        <w:tc>
          <w:tcPr>
            <w:tcW w:w="4962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01641" w:rsidRPr="00201641" w:rsidTr="00E47733">
        <w:tc>
          <w:tcPr>
            <w:tcW w:w="4962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Inne z udziałem nauczyciela</w:t>
            </w:r>
          </w:p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01641" w:rsidRPr="00201641" w:rsidTr="00E47733">
        <w:tc>
          <w:tcPr>
            <w:tcW w:w="4962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niekontaktowe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01641" w:rsidRPr="00201641" w:rsidTr="00E47733">
        <w:tc>
          <w:tcPr>
            <w:tcW w:w="4962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201641" w:rsidRPr="00201641" w:rsidTr="00E47733">
        <w:tc>
          <w:tcPr>
            <w:tcW w:w="4962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01641" w:rsidRPr="00201641" w:rsidRDefault="00201641" w:rsidP="00201641">
            <w:pPr>
              <w:spacing w:after="0" w:line="240" w:lineRule="auto"/>
              <w:contextualSpacing/>
              <w:jc w:val="center"/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i/>
          <w:sz w:val="24"/>
          <w:szCs w:val="24"/>
        </w:rPr>
      </w:pPr>
      <w:r w:rsidRPr="00201641">
        <w:rPr>
          <w:rFonts w:ascii="Corbel" w:eastAsia="Times New Roman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201641" w:rsidRPr="00201641" w:rsidRDefault="00201641" w:rsidP="00201641">
      <w:pPr>
        <w:spacing w:after="0" w:line="240" w:lineRule="auto"/>
        <w:ind w:left="426"/>
        <w:rPr>
          <w:rFonts w:ascii="Corbel" w:eastAsia="Times New Roman" w:hAnsi="Corbel" w:cs="Times New Roman"/>
          <w:i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6. PRAKTYKI ZAWODOWE W RAMACH PRZEDMIOTU/ MODUŁU </w:t>
      </w:r>
    </w:p>
    <w:p w:rsidR="00201641" w:rsidRPr="00201641" w:rsidRDefault="00201641" w:rsidP="00201641">
      <w:pPr>
        <w:spacing w:after="0" w:line="240" w:lineRule="auto"/>
        <w:ind w:left="360"/>
        <w:rPr>
          <w:rFonts w:ascii="Corbel" w:eastAsia="Times New Roman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01641" w:rsidRPr="00201641" w:rsidTr="00E47733">
        <w:trPr>
          <w:trHeight w:val="397"/>
        </w:trPr>
        <w:tc>
          <w:tcPr>
            <w:tcW w:w="2359" w:type="pct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01641" w:rsidRPr="00201641" w:rsidTr="00E47733">
        <w:trPr>
          <w:trHeight w:val="397"/>
        </w:trPr>
        <w:tc>
          <w:tcPr>
            <w:tcW w:w="2359" w:type="pct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01641" w:rsidRPr="00201641" w:rsidRDefault="00201641" w:rsidP="00201641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-</w:t>
            </w:r>
          </w:p>
        </w:tc>
      </w:tr>
    </w:tbl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sz w:val="24"/>
          <w:szCs w:val="24"/>
        </w:rPr>
      </w:pP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  <w:r w:rsidRPr="00201641">
        <w:rPr>
          <w:rFonts w:ascii="Corbel" w:eastAsia="Times New Roman" w:hAnsi="Corbel" w:cs="Times New Roman"/>
          <w:b/>
          <w:sz w:val="24"/>
          <w:szCs w:val="24"/>
        </w:rPr>
        <w:t xml:space="preserve">7. LITERATURA </w:t>
      </w:r>
    </w:p>
    <w:p w:rsidR="00201641" w:rsidRPr="00201641" w:rsidRDefault="00201641" w:rsidP="00201641">
      <w:pPr>
        <w:spacing w:after="0" w:line="240" w:lineRule="auto"/>
        <w:rPr>
          <w:rFonts w:ascii="Corbel" w:eastAsia="Times New Roman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01641" w:rsidRPr="00201641" w:rsidTr="00E47733">
        <w:trPr>
          <w:trHeight w:val="397"/>
        </w:trPr>
        <w:tc>
          <w:tcPr>
            <w:tcW w:w="5000" w:type="pct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Literatura podstawowa:</w:t>
            </w:r>
          </w:p>
          <w:p w:rsidR="00201641" w:rsidRPr="00201641" w:rsidRDefault="00201641" w:rsidP="0020164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Jaworski W. L, 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Krzyżkiewicz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Z., Kosiński B., Banki - rynek, operacje, polityka,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Poltex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, Warszawa, 2014</w:t>
            </w:r>
          </w:p>
          <w:p w:rsidR="00201641" w:rsidRPr="00201641" w:rsidRDefault="00201641" w:rsidP="0020164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Jaworski W. L., Zawadzka Z., Bankowość,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Poltex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, Warszawa, 2011</w:t>
            </w:r>
          </w:p>
          <w:p w:rsidR="00201641" w:rsidRPr="00201641" w:rsidRDefault="00201641" w:rsidP="00201641">
            <w:pPr>
              <w:spacing w:after="0" w:line="240" w:lineRule="auto"/>
              <w:ind w:left="360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201641" w:rsidRPr="00201641" w:rsidTr="00E47733">
        <w:trPr>
          <w:trHeight w:val="397"/>
        </w:trPr>
        <w:tc>
          <w:tcPr>
            <w:tcW w:w="5000" w:type="pct"/>
          </w:tcPr>
          <w:p w:rsidR="00201641" w:rsidRPr="00201641" w:rsidRDefault="00201641" w:rsidP="00201641">
            <w:p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Literatura uzupełniająca:</w:t>
            </w:r>
          </w:p>
          <w:p w:rsidR="00201641" w:rsidRPr="00201641" w:rsidRDefault="00201641" w:rsidP="0020164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Canalas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J., Strategie konkurencyjne w europejskiej bankowości, PWN, Warszawa, 2015</w:t>
            </w:r>
          </w:p>
          <w:p w:rsidR="00201641" w:rsidRPr="00201641" w:rsidRDefault="00201641" w:rsidP="0020164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Penza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P.,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Bausal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V. K., 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Measuring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market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risk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with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value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at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>risk,LSE</w:t>
            </w:r>
            <w:proofErr w:type="spellEnd"/>
            <w:r w:rsidRPr="00201641">
              <w:rPr>
                <w:rFonts w:ascii="Corbel" w:eastAsia="Times New Roman" w:hAnsi="Corbel" w:cs="Times New Roman"/>
                <w:sz w:val="24"/>
                <w:szCs w:val="24"/>
              </w:rPr>
              <w:t xml:space="preserve"> London, 2011.</w:t>
            </w:r>
          </w:p>
          <w:p w:rsidR="00201641" w:rsidRPr="00201641" w:rsidRDefault="00201641" w:rsidP="00201641">
            <w:pPr>
              <w:spacing w:after="0" w:line="240" w:lineRule="auto"/>
              <w:ind w:left="284"/>
              <w:contextualSpacing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</w:tr>
    </w:tbl>
    <w:p w:rsidR="00201641" w:rsidRPr="00201641" w:rsidRDefault="00201641" w:rsidP="00201641">
      <w:pPr>
        <w:spacing w:after="0" w:line="240" w:lineRule="auto"/>
        <w:ind w:left="360"/>
        <w:rPr>
          <w:rFonts w:ascii="Corbel" w:eastAsia="Times New Roman" w:hAnsi="Corbel" w:cs="Times New Roman"/>
          <w:sz w:val="24"/>
          <w:szCs w:val="24"/>
          <w:lang w:val="en-US"/>
        </w:rPr>
      </w:pPr>
    </w:p>
    <w:p w:rsidR="00201641" w:rsidRPr="00201641" w:rsidRDefault="00201641" w:rsidP="00201641">
      <w:pPr>
        <w:spacing w:after="0" w:line="240" w:lineRule="auto"/>
        <w:ind w:left="360"/>
        <w:rPr>
          <w:rFonts w:ascii="Corbel" w:eastAsia="Times New Roman" w:hAnsi="Corbel" w:cs="Times New Roman"/>
          <w:sz w:val="24"/>
          <w:szCs w:val="24"/>
        </w:rPr>
      </w:pPr>
      <w:r w:rsidRPr="00201641">
        <w:rPr>
          <w:rFonts w:ascii="Corbel" w:eastAsia="Times New Roman" w:hAnsi="Corbel" w:cs="Times New Roman"/>
          <w:sz w:val="24"/>
          <w:szCs w:val="24"/>
        </w:rPr>
        <w:t>Akceptacja Kierownika Jednostki lub osoby upoważnionej</w:t>
      </w:r>
    </w:p>
    <w:p w:rsidR="00FD1EEC" w:rsidRDefault="00FD1EEC"/>
    <w:sectPr w:rsidR="00FD1E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EDF0701"/>
    <w:multiLevelType w:val="multilevel"/>
    <w:tmpl w:val="0B52B70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41"/>
    <w:rsid w:val="00201641"/>
    <w:rsid w:val="00FD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5A89"/>
  <w15:chartTrackingRefBased/>
  <w15:docId w15:val="{0F20945A-B238-47A1-BFED-660FB857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64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Punktygwne">
    <w:name w:val="Punkty główne"/>
    <w:basedOn w:val="Normalny"/>
    <w:rsid w:val="00201641"/>
    <w:pPr>
      <w:spacing w:before="240" w:after="60" w:line="240" w:lineRule="auto"/>
    </w:pPr>
    <w:rPr>
      <w:rFonts w:ascii="Times New Roman" w:eastAsia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20164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1641"/>
    <w:pPr>
      <w:spacing w:before="40" w:after="40" w:line="240" w:lineRule="auto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64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20164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1641"/>
    <w:pPr>
      <w:spacing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centralniewrubryce">
    <w:name w:val="centralnie w rubryce"/>
    <w:basedOn w:val="Normalny"/>
    <w:rsid w:val="0020164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1641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6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2019-01-29T10:11:00Z</dcterms:created>
  <dcterms:modified xsi:type="dcterms:W3CDTF">2019-01-29T10:13:00Z</dcterms:modified>
</cp:coreProperties>
</file>